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tbl>
      <w:tblPr>
        <w:tblStyle w:val="TableGrid"/>
        <w:tblW w:w="10007" w:type="dxa"/>
        <w:jc w:val="center"/>
        <w:tblLook w:val="04A0" w:firstRow="1" w:lastRow="0" w:firstColumn="1" w:lastColumn="0" w:noHBand="0" w:noVBand="1"/>
      </w:tblPr>
      <w:tblGrid>
        <w:gridCol w:w="3335"/>
        <w:gridCol w:w="3335"/>
        <w:gridCol w:w="3337"/>
      </w:tblGrid>
      <w:tr w:rsidR="00742FA8" w:rsidRPr="00A5152F" w14:paraId="131B86C3" w14:textId="77777777" w:rsidTr="00902063">
        <w:trPr>
          <w:trHeight w:val="652"/>
          <w:jc w:val="center"/>
        </w:trPr>
        <w:tc>
          <w:tcPr>
            <w:tcW w:w="3335" w:type="dxa"/>
            <w:tcBorders>
              <w:right w:val="single" w:sz="4" w:space="0" w:color="44546A" w:themeColor="text2"/>
            </w:tcBorders>
            <w:shd w:val="clear" w:color="auto" w:fill="1F3864" w:themeFill="accent1" w:themeFillShade="80"/>
          </w:tcPr>
          <w:p w14:paraId="6E819468" w14:textId="77777777" w:rsidR="00A5152F" w:rsidRDefault="00A5152F" w:rsidP="00A5152F">
            <w:pPr>
              <w:jc w:val="center"/>
              <w:rPr>
                <w:rFonts w:cs="Arial"/>
                <w:color w:val="FFFFFF" w:themeColor="background1"/>
                <w:sz w:val="32"/>
                <w:szCs w:val="32"/>
                <w:shd w:val="clear" w:color="auto" w:fill="1F3864" w:themeFill="accent1" w:themeFillShade="80"/>
                <w:lang w:val="en-US"/>
              </w:rPr>
            </w:pPr>
          </w:p>
          <w:p w14:paraId="1AB010F6" w14:textId="11073F22" w:rsidR="00A5152F" w:rsidRPr="00906B87" w:rsidRDefault="00A5152F" w:rsidP="00A5152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78408C">
              <w:rPr>
                <w:rFonts w:cs="Arial"/>
                <w:color w:val="FFFFFF" w:themeColor="background1"/>
                <w:sz w:val="32"/>
                <w:szCs w:val="32"/>
                <w:shd w:val="clear" w:color="auto" w:fill="1F3864" w:themeFill="accent1" w:themeFillShade="80"/>
                <w:lang w:val="en-US"/>
              </w:rPr>
              <w:t>contribution</w:t>
            </w:r>
          </w:p>
          <w:p w14:paraId="53B8847D" w14:textId="08847F2E"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53251C20" w14:textId="77777777" w:rsidR="00A5152F" w:rsidRDefault="00A5152F" w:rsidP="00A5152F">
            <w:pPr>
              <w:jc w:val="center"/>
              <w:rPr>
                <w:rFonts w:cs="Arial"/>
                <w:color w:val="FFFFFF" w:themeColor="background1"/>
                <w:sz w:val="32"/>
                <w:szCs w:val="32"/>
                <w:shd w:val="clear" w:color="auto" w:fill="1F3864" w:themeFill="accent1" w:themeFillShade="80"/>
                <w:lang w:val="en-US"/>
              </w:rPr>
            </w:pPr>
          </w:p>
          <w:p w14:paraId="6B26AC0C" w14:textId="4335076D" w:rsidR="00742FA8" w:rsidRDefault="00A5152F" w:rsidP="00A5152F">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105F9A">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180C03" w14:paraId="425D15D4" w14:textId="77777777" w:rsidTr="00902063">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A5152F" w:rsidRDefault="005728A3" w:rsidP="005728A3">
            <w:pPr>
              <w:jc w:val="right"/>
              <w:rPr>
                <w:rFonts w:cstheme="minorHAnsi"/>
                <w:b/>
                <w:bCs/>
                <w:color w:val="002060"/>
                <w:sz w:val="28"/>
                <w:szCs w:val="28"/>
                <w:lang w:val="en-US"/>
              </w:rPr>
            </w:pPr>
            <w:r w:rsidRPr="00A5152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902063">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39A9CE2" w:rsidR="006D3771" w:rsidRPr="006D3771" w:rsidRDefault="00B35012" w:rsidP="006D3771">
            <w:pPr>
              <w:jc w:val="center"/>
              <w:rPr>
                <w:sz w:val="32"/>
                <w:szCs w:val="32"/>
                <w:lang w:val="en-US"/>
              </w:rPr>
            </w:pPr>
            <w:r>
              <w:rPr>
                <w:sz w:val="32"/>
                <w:szCs w:val="32"/>
                <w:lang w:val="en-US"/>
              </w:rPr>
              <w:t>Estonia</w:t>
            </w:r>
          </w:p>
          <w:p w14:paraId="1EE0812F" w14:textId="73DF6167" w:rsidR="006D3771" w:rsidRDefault="006D3771">
            <w:pPr>
              <w:rPr>
                <w:lang w:val="en-US"/>
              </w:rPr>
            </w:pPr>
          </w:p>
        </w:tc>
      </w:tr>
    </w:tbl>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47DC3595" w:rsidR="004A628B" w:rsidRDefault="004A628B" w:rsidP="009B5190">
      <w:pPr>
        <w:pStyle w:val="Default"/>
        <w:rPr>
          <w:color w:val="auto"/>
          <w:sz w:val="22"/>
          <w:szCs w:val="22"/>
          <w:lang w:val="en-US"/>
        </w:rPr>
      </w:pPr>
    </w:p>
    <w:p w14:paraId="721EE0D6" w14:textId="77777777" w:rsidR="00532B3D" w:rsidRPr="00532B3D" w:rsidRDefault="00532B3D" w:rsidP="00532B3D">
      <w:pPr>
        <w:pStyle w:val="Default"/>
        <w:jc w:val="both"/>
        <w:rPr>
          <w:rFonts w:asciiTheme="minorHAnsi" w:hAnsiTheme="minorHAnsi" w:cstheme="minorHAnsi"/>
          <w:color w:val="auto"/>
          <w:sz w:val="20"/>
          <w:szCs w:val="20"/>
          <w:lang w:val="en-US"/>
        </w:rPr>
      </w:pPr>
      <w:r w:rsidRPr="00532B3D">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25A475D8" w14:textId="77777777" w:rsidR="00532B3D" w:rsidRPr="00532B3D" w:rsidRDefault="00532B3D" w:rsidP="00532B3D">
      <w:pPr>
        <w:shd w:val="clear" w:color="auto" w:fill="FFFFFF"/>
        <w:spacing w:before="100" w:beforeAutospacing="1" w:after="100" w:afterAutospacing="1"/>
        <w:rPr>
          <w:rFonts w:cstheme="minorHAnsi"/>
          <w:color w:val="161616"/>
          <w:lang w:val="en-US"/>
        </w:rPr>
      </w:pPr>
      <w:r w:rsidRPr="00532B3D">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532B3D">
          <w:rPr>
            <w:rStyle w:val="Hyperlink"/>
            <w:rFonts w:cstheme="minorHAnsi"/>
            <w:color w:val="007BC8"/>
            <w:lang w:val="en-US"/>
          </w:rPr>
          <w:t>CEPEJ Country fiche - Scoreboard - Estonia</w:t>
        </w:r>
      </w:hyperlink>
    </w:p>
    <w:p w14:paraId="31499BF0" w14:textId="77777777" w:rsidR="00532B3D" w:rsidRPr="00532B3D" w:rsidRDefault="00532B3D" w:rsidP="00532B3D">
      <w:pPr>
        <w:pStyle w:val="Default"/>
        <w:jc w:val="both"/>
        <w:rPr>
          <w:rFonts w:asciiTheme="minorHAnsi" w:hAnsiTheme="minorHAnsi" w:cstheme="minorHAnsi"/>
          <w:color w:val="auto"/>
          <w:sz w:val="20"/>
          <w:szCs w:val="20"/>
          <w:lang w:val="en-US"/>
        </w:rPr>
      </w:pPr>
      <w:r w:rsidRPr="00532B3D">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532B3D">
          <w:rPr>
            <w:rStyle w:val="Hyperlink"/>
            <w:rFonts w:asciiTheme="minorHAnsi" w:hAnsiTheme="minorHAnsi" w:cstheme="minorHAnsi"/>
            <w:sz w:val="20"/>
            <w:szCs w:val="20"/>
            <w:lang w:val="en-US"/>
          </w:rPr>
          <w:t>christel.schurrer@coe.int</w:t>
        </w:r>
      </w:hyperlink>
      <w:r w:rsidRPr="00532B3D">
        <w:rPr>
          <w:rFonts w:asciiTheme="minorHAnsi" w:hAnsiTheme="minorHAnsi" w:cstheme="minorHAnsi"/>
          <w:color w:val="auto"/>
          <w:sz w:val="20"/>
          <w:szCs w:val="20"/>
          <w:lang w:val="en-US"/>
        </w:rPr>
        <w:t xml:space="preserve">)  remains at the disposal of European Commission for any question related to these data. </w:t>
      </w:r>
    </w:p>
    <w:p w14:paraId="427A2D92" w14:textId="60EFED22" w:rsidR="00D63A55" w:rsidRDefault="00D63A55" w:rsidP="00D63A55">
      <w:pPr>
        <w:rPr>
          <w:lang w:val="en-US"/>
        </w:rPr>
      </w:pPr>
    </w:p>
    <w:p w14:paraId="75D4A40F" w14:textId="77777777" w:rsidR="00025118" w:rsidRPr="00180C03" w:rsidRDefault="00025118" w:rsidP="00D63A55">
      <w:pPr>
        <w:rPr>
          <w:lang w:val="en-GB"/>
        </w:rPr>
      </w:pPr>
    </w:p>
    <w:p w14:paraId="1494872D" w14:textId="7AB09999" w:rsidR="00D63A55" w:rsidRDefault="00D63A55" w:rsidP="00D63A55">
      <w:pPr>
        <w:rPr>
          <w:lang w:val="en-GB"/>
        </w:rPr>
      </w:pPr>
      <w:r w:rsidRPr="00637084">
        <w:rPr>
          <w:lang w:val="en-GB"/>
        </w:rPr>
        <w:t xml:space="preserve">Execution of judgments in </w:t>
      </w:r>
      <w:hyperlink r:id="rId11" w:history="1">
        <w:r w:rsidRPr="00637084">
          <w:rPr>
            <w:rStyle w:val="Hyperlink"/>
            <w:lang w:val="en-GB"/>
          </w:rPr>
          <w:t>Estonia</w:t>
        </w:r>
      </w:hyperlink>
      <w:r w:rsidRPr="00637084">
        <w:rPr>
          <w:lang w:val="en-GB"/>
        </w:rPr>
        <w:t xml:space="preserve"> </w:t>
      </w:r>
    </w:p>
    <w:p w14:paraId="64018B2D" w14:textId="2A453336" w:rsidR="00284238" w:rsidRDefault="00284238" w:rsidP="00D63A55">
      <w:pPr>
        <w:rPr>
          <w:lang w:val="en-GB"/>
        </w:rPr>
      </w:pPr>
    </w:p>
    <w:p w14:paraId="3BCA6DBE" w14:textId="6433D334" w:rsidR="00284238" w:rsidRDefault="00284238" w:rsidP="00D63A55">
      <w:pPr>
        <w:rPr>
          <w:lang w:val="en-GB"/>
        </w:rPr>
      </w:pPr>
      <w:r>
        <w:rPr>
          <w:lang w:val="en-GB"/>
        </w:rPr>
        <w:t xml:space="preserve">CETS No. 198 </w:t>
      </w:r>
    </w:p>
    <w:p w14:paraId="0BAA05B4" w14:textId="2EDFC318" w:rsidR="00284238" w:rsidRPr="00284238" w:rsidRDefault="00284238" w:rsidP="00FA69DC">
      <w:pPr>
        <w:jc w:val="both"/>
        <w:rPr>
          <w:rFonts w:cstheme="minorHAnsi"/>
          <w:lang w:val="en-GB"/>
        </w:rPr>
      </w:pPr>
      <w:r w:rsidRPr="00284238">
        <w:rPr>
          <w:rFonts w:cstheme="minorHAnsi"/>
          <w:color w:val="161616"/>
          <w:shd w:val="clear" w:color="auto" w:fill="FFFFFF"/>
          <w:lang w:val="en-GB"/>
        </w:rPr>
        <w:t>On 1 September 2022 Estonia ratified the Council of Europe Convention on Laundering, Search, Seizure and Confiscation of the Proceeds from Crime and on the Financing of Terrorism (</w:t>
      </w:r>
      <w:hyperlink r:id="rId12" w:tgtFrame="_blank" w:history="1">
        <w:r w:rsidRPr="00284238">
          <w:rPr>
            <w:rStyle w:val="Hyperlink"/>
            <w:rFonts w:cstheme="minorHAnsi"/>
            <w:color w:val="007BC8"/>
            <w:shd w:val="clear" w:color="auto" w:fill="FFFFFF"/>
            <w:lang w:val="en-GB"/>
          </w:rPr>
          <w:t>CETS No. 198</w:t>
        </w:r>
      </w:hyperlink>
      <w:r w:rsidRPr="00284238">
        <w:rPr>
          <w:rFonts w:cstheme="minorHAnsi"/>
          <w:color w:val="161616"/>
          <w:shd w:val="clear" w:color="auto" w:fill="FFFFFF"/>
          <w:lang w:val="en-GB"/>
        </w:rPr>
        <w:t>), with entry into force of the Convention on 1 January 2023</w:t>
      </w:r>
      <w:r>
        <w:rPr>
          <w:rFonts w:cstheme="minorHAnsi"/>
          <w:color w:val="161616"/>
          <w:shd w:val="clear" w:color="auto" w:fill="FFFFFF"/>
          <w:lang w:val="en-GB"/>
        </w:rPr>
        <w:t xml:space="preserve"> (</w:t>
      </w:r>
      <w:hyperlink r:id="rId13" w:history="1">
        <w:r w:rsidRPr="00284238">
          <w:rPr>
            <w:rStyle w:val="Hyperlink"/>
            <w:rFonts w:cstheme="minorHAnsi"/>
            <w:shd w:val="clear" w:color="auto" w:fill="FFFFFF"/>
            <w:lang w:val="en-GB"/>
          </w:rPr>
          <w:t>press release</w:t>
        </w:r>
      </w:hyperlink>
      <w:r>
        <w:rPr>
          <w:rFonts w:cstheme="minorHAnsi"/>
          <w:color w:val="161616"/>
          <w:shd w:val="clear" w:color="auto" w:fill="FFFFFF"/>
          <w:lang w:val="en-GB"/>
        </w:rPr>
        <w:t>).</w:t>
      </w:r>
    </w:p>
    <w:p w14:paraId="5C79AE80" w14:textId="69D278CD" w:rsidR="004A628B" w:rsidRPr="00284238" w:rsidRDefault="004A628B" w:rsidP="004A628B">
      <w:pPr>
        <w:pStyle w:val="Heading1"/>
        <w:rPr>
          <w:lang w:val="en-GB"/>
        </w:rPr>
      </w:pPr>
      <w:bookmarkStart w:id="1" w:name="_Toc36635832"/>
      <w:r w:rsidRPr="00284238">
        <w:rPr>
          <w:lang w:val="en-GB"/>
        </w:rPr>
        <w:t>II Anti-corruption framework</w:t>
      </w:r>
      <w:bookmarkEnd w:id="1"/>
      <w:r w:rsidRPr="00284238">
        <w:rPr>
          <w:lang w:val="en-GB"/>
        </w:rPr>
        <w:t xml:space="preserve"> </w:t>
      </w:r>
    </w:p>
    <w:p w14:paraId="4328586A" w14:textId="77777777" w:rsidR="004A628B" w:rsidRPr="00284238" w:rsidRDefault="004A628B" w:rsidP="004A628B">
      <w:pPr>
        <w:pStyle w:val="Default"/>
        <w:ind w:left="1080"/>
        <w:rPr>
          <w:color w:val="auto"/>
          <w:sz w:val="22"/>
          <w:szCs w:val="22"/>
          <w:lang w:val="en-GB"/>
        </w:rPr>
      </w:pPr>
    </w:p>
    <w:p w14:paraId="533481B7" w14:textId="77777777" w:rsidR="009A2ABA" w:rsidRDefault="009A2ABA" w:rsidP="009A2ABA">
      <w:pPr>
        <w:rPr>
          <w:lang w:val="en-US"/>
        </w:rPr>
      </w:pPr>
      <w:r>
        <w:rPr>
          <w:lang w:val="en-US"/>
        </w:rPr>
        <w:t>GRECO (13 June 2023)</w:t>
      </w:r>
    </w:p>
    <w:p w14:paraId="20611C94" w14:textId="77777777" w:rsidR="009A2ABA" w:rsidRDefault="00000000" w:rsidP="009A2ABA">
      <w:pPr>
        <w:rPr>
          <w:rStyle w:val="Hyperlink"/>
          <w:rFonts w:ascii="Calibri" w:hAnsi="Calibri" w:cs="Calibri"/>
          <w:lang w:val="en-GB"/>
        </w:rPr>
      </w:pPr>
      <w:hyperlink r:id="rId14" w:history="1">
        <w:r w:rsidR="009A2ABA" w:rsidRPr="00025118">
          <w:rPr>
            <w:rStyle w:val="Hyperlink"/>
            <w:rFonts w:ascii="Calibri" w:hAnsi="Calibri" w:cs="Calibri"/>
            <w:lang w:val="en-GB"/>
          </w:rPr>
          <w:t>Second Compliance Report</w:t>
        </w:r>
      </w:hyperlink>
    </w:p>
    <w:p w14:paraId="48921E1A" w14:textId="0A75D45C" w:rsidR="009A2ABA" w:rsidRDefault="009A2ABA" w:rsidP="009A2ABA">
      <w:pPr>
        <w:pStyle w:val="NoSpacing"/>
        <w:rPr>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65608D2F" w14:textId="77777777" w:rsidR="00752C1A" w:rsidRPr="00F8432D" w:rsidRDefault="00752C1A" w:rsidP="009A2ABA">
      <w:pPr>
        <w:pStyle w:val="NoSpacing"/>
        <w:rPr>
          <w:rFonts w:ascii="Calibri" w:hAnsi="Calibri" w:cs="Calibri"/>
          <w:color w:val="161616"/>
          <w:sz w:val="22"/>
          <w:szCs w:val="22"/>
          <w:lang w:val="en-GB"/>
        </w:rPr>
      </w:pPr>
    </w:p>
    <w:p w14:paraId="4FD5D340" w14:textId="1B70F739" w:rsidR="004A628B" w:rsidRDefault="00752C1A" w:rsidP="004A628B">
      <w:pPr>
        <w:pStyle w:val="Heading3"/>
        <w:rPr>
          <w:rFonts w:asciiTheme="minorHAnsi" w:hAnsiTheme="minorHAnsi" w:cstheme="minorHAnsi"/>
          <w:sz w:val="20"/>
          <w:szCs w:val="20"/>
          <w:lang w:val="en-GB"/>
        </w:rPr>
      </w:pPr>
      <w:r>
        <w:rPr>
          <w:rFonts w:asciiTheme="minorHAnsi" w:hAnsiTheme="minorHAnsi" w:cstheme="minorHAnsi"/>
          <w:sz w:val="20"/>
          <w:szCs w:val="20"/>
          <w:lang w:val="en-GB"/>
        </w:rPr>
        <w:t>MONEYVAL</w:t>
      </w:r>
    </w:p>
    <w:p w14:paraId="1AFEA901" w14:textId="54C898DA" w:rsidR="00752C1A" w:rsidRPr="00752C1A" w:rsidRDefault="00000000" w:rsidP="00752C1A">
      <w:pPr>
        <w:pStyle w:val="Default"/>
        <w:rPr>
          <w:sz w:val="20"/>
          <w:szCs w:val="20"/>
          <w:lang w:val="en-US"/>
        </w:rPr>
      </w:pPr>
      <w:hyperlink r:id="rId15" w:history="1">
        <w:r w:rsidR="00752C1A" w:rsidRPr="00752C1A">
          <w:rPr>
            <w:rStyle w:val="Hyperlink"/>
            <w:sz w:val="20"/>
            <w:szCs w:val="20"/>
            <w:lang w:val="en-US"/>
          </w:rPr>
          <w:t>Fifth Round Mutual Evaluation Report</w:t>
        </w:r>
      </w:hyperlink>
    </w:p>
    <w:p w14:paraId="57C8F609" w14:textId="601B865E" w:rsidR="00752C1A" w:rsidRPr="00752C1A" w:rsidRDefault="00752C1A" w:rsidP="00752C1A">
      <w:pPr>
        <w:rPr>
          <w:lang w:val="en-US"/>
        </w:rPr>
      </w:pPr>
    </w:p>
    <w:p w14:paraId="591613E4" w14:textId="77777777" w:rsidR="004A628B" w:rsidRPr="00284238" w:rsidRDefault="004A628B" w:rsidP="004A628B">
      <w:pPr>
        <w:pStyle w:val="Default"/>
        <w:rPr>
          <w:color w:val="auto"/>
          <w:sz w:val="22"/>
          <w:szCs w:val="22"/>
          <w:lang w:val="en-GB"/>
        </w:rPr>
      </w:pPr>
    </w:p>
    <w:p w14:paraId="3F060345" w14:textId="300DA87F"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4B8480E" w14:textId="0A8EBE4C" w:rsidR="004A628B" w:rsidRDefault="004A628B" w:rsidP="00700563">
      <w:pPr>
        <w:pStyle w:val="Default"/>
        <w:rPr>
          <w:color w:val="auto"/>
          <w:sz w:val="22"/>
          <w:szCs w:val="22"/>
          <w:lang w:val="en-US"/>
        </w:rPr>
      </w:pPr>
    </w:p>
    <w:p w14:paraId="21271692" w14:textId="6CDCBB89" w:rsidR="0078408C" w:rsidRPr="0078408C" w:rsidRDefault="0078408C" w:rsidP="00700563">
      <w:pPr>
        <w:pStyle w:val="Default"/>
        <w:rPr>
          <w:color w:val="auto"/>
          <w:sz w:val="20"/>
          <w:szCs w:val="20"/>
          <w:lang w:val="en-US"/>
        </w:rPr>
      </w:pPr>
      <w:r w:rsidRPr="0078408C">
        <w:rPr>
          <w:color w:val="auto"/>
          <w:sz w:val="20"/>
          <w:szCs w:val="20"/>
          <w:lang w:val="en-US"/>
        </w:rPr>
        <w:t>N/A</w:t>
      </w:r>
    </w:p>
    <w:p w14:paraId="46F6D60B" w14:textId="1CE864BD" w:rsidR="00F10515" w:rsidRDefault="00F10515" w:rsidP="004A628B">
      <w:pPr>
        <w:pStyle w:val="Default"/>
        <w:rPr>
          <w:color w:val="auto"/>
          <w:sz w:val="22"/>
          <w:szCs w:val="22"/>
          <w:lang w:val="en-US"/>
        </w:rPr>
      </w:pPr>
    </w:p>
    <w:p w14:paraId="1A6D618E" w14:textId="77777777" w:rsidR="00F10515" w:rsidRPr="00546B57" w:rsidRDefault="00F10515" w:rsidP="004A628B">
      <w:pPr>
        <w:pStyle w:val="Default"/>
        <w:rPr>
          <w:color w:val="auto"/>
          <w:sz w:val="22"/>
          <w:szCs w:val="22"/>
          <w:lang w:val="en-US"/>
        </w:rPr>
      </w:pPr>
    </w:p>
    <w:p w14:paraId="3E1F9863" w14:textId="18045697"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5D25F477" w14:textId="61F6BA19" w:rsidR="004A628B" w:rsidRDefault="004A628B" w:rsidP="0078408C">
      <w:pPr>
        <w:pStyle w:val="Default"/>
        <w:rPr>
          <w:color w:val="auto"/>
          <w:sz w:val="22"/>
          <w:szCs w:val="22"/>
          <w:lang w:val="en-US"/>
        </w:rPr>
      </w:pPr>
    </w:p>
    <w:p w14:paraId="63D7199C" w14:textId="77777777" w:rsidR="0078408C" w:rsidRPr="0078408C" w:rsidRDefault="0078408C" w:rsidP="0078408C">
      <w:pPr>
        <w:pStyle w:val="Default"/>
        <w:rPr>
          <w:color w:val="auto"/>
          <w:sz w:val="20"/>
          <w:szCs w:val="20"/>
          <w:lang w:val="en-US"/>
        </w:rPr>
      </w:pPr>
      <w:r w:rsidRPr="0078408C">
        <w:rPr>
          <w:color w:val="auto"/>
          <w:sz w:val="20"/>
          <w:szCs w:val="20"/>
          <w:lang w:val="en-US"/>
        </w:rPr>
        <w:t>N/A</w:t>
      </w:r>
    </w:p>
    <w:p w14:paraId="28100AEB" w14:textId="77777777" w:rsidR="00EA568E" w:rsidRPr="00EA568E" w:rsidRDefault="00EA568E">
      <w:pPr>
        <w:rPr>
          <w:rFonts w:cs="Arial"/>
          <w:color w:val="FFFFFF" w:themeColor="background1"/>
          <w:sz w:val="22"/>
          <w:szCs w:val="22"/>
          <w:shd w:val="clear" w:color="auto" w:fill="1F3864" w:themeFill="accent1" w:themeFillShade="80"/>
          <w:lang w:val="en-US"/>
        </w:rPr>
      </w:pPr>
    </w:p>
    <w:sectPr w:rsidR="00EA568E" w:rsidRPr="00EA568E" w:rsidSect="007B3B82">
      <w:footerReference w:type="defaul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D3714" w14:textId="77777777" w:rsidR="00795AC5" w:rsidRDefault="00795AC5" w:rsidP="00857FF1">
      <w:r>
        <w:separator/>
      </w:r>
    </w:p>
  </w:endnote>
  <w:endnote w:type="continuationSeparator" w:id="0">
    <w:p w14:paraId="11A40CFE" w14:textId="77777777" w:rsidR="00795AC5" w:rsidRDefault="00795AC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D9DA" w14:textId="77777777" w:rsidR="00795AC5" w:rsidRDefault="00795AC5" w:rsidP="00857FF1">
      <w:r>
        <w:separator/>
      </w:r>
    </w:p>
  </w:footnote>
  <w:footnote w:type="continuationSeparator" w:id="0">
    <w:p w14:paraId="7242DB0F" w14:textId="77777777" w:rsidR="00795AC5" w:rsidRDefault="00795AC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90332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660644">
    <w:abstractNumId w:val="2"/>
  </w:num>
  <w:num w:numId="3" w16cid:durableId="1220871307">
    <w:abstractNumId w:val="3"/>
  </w:num>
  <w:num w:numId="4" w16cid:durableId="1808038798">
    <w:abstractNumId w:val="6"/>
  </w:num>
  <w:num w:numId="5" w16cid:durableId="1371881340">
    <w:abstractNumId w:val="4"/>
  </w:num>
  <w:num w:numId="6" w16cid:durableId="1727487167">
    <w:abstractNumId w:val="4"/>
  </w:num>
  <w:num w:numId="7" w16cid:durableId="395786128">
    <w:abstractNumId w:val="1"/>
  </w:num>
  <w:num w:numId="8" w16cid:durableId="1059094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5118"/>
    <w:rsid w:val="00073429"/>
    <w:rsid w:val="000C2D24"/>
    <w:rsid w:val="000E51C1"/>
    <w:rsid w:val="00105F9A"/>
    <w:rsid w:val="001257E8"/>
    <w:rsid w:val="00153900"/>
    <w:rsid w:val="00167680"/>
    <w:rsid w:val="00172847"/>
    <w:rsid w:val="00180C03"/>
    <w:rsid w:val="001A0B36"/>
    <w:rsid w:val="001C77D8"/>
    <w:rsid w:val="001D0AE0"/>
    <w:rsid w:val="001D4267"/>
    <w:rsid w:val="001F7C92"/>
    <w:rsid w:val="002027E7"/>
    <w:rsid w:val="0021059A"/>
    <w:rsid w:val="00252DE0"/>
    <w:rsid w:val="00254902"/>
    <w:rsid w:val="00256429"/>
    <w:rsid w:val="00282225"/>
    <w:rsid w:val="00283F07"/>
    <w:rsid w:val="00284238"/>
    <w:rsid w:val="00292116"/>
    <w:rsid w:val="002A1D67"/>
    <w:rsid w:val="002A36ED"/>
    <w:rsid w:val="002A58D7"/>
    <w:rsid w:val="002B2FF2"/>
    <w:rsid w:val="002B76A0"/>
    <w:rsid w:val="002C3DE5"/>
    <w:rsid w:val="002C68B0"/>
    <w:rsid w:val="002C6CF4"/>
    <w:rsid w:val="002E13A8"/>
    <w:rsid w:val="002F1BCE"/>
    <w:rsid w:val="002F6187"/>
    <w:rsid w:val="002F7DBD"/>
    <w:rsid w:val="00333595"/>
    <w:rsid w:val="00372B8F"/>
    <w:rsid w:val="00383CC3"/>
    <w:rsid w:val="003866DA"/>
    <w:rsid w:val="00387F89"/>
    <w:rsid w:val="003C28E5"/>
    <w:rsid w:val="003F0C2C"/>
    <w:rsid w:val="00407CB8"/>
    <w:rsid w:val="004479CA"/>
    <w:rsid w:val="00450190"/>
    <w:rsid w:val="004A628B"/>
    <w:rsid w:val="004B6170"/>
    <w:rsid w:val="004D2C93"/>
    <w:rsid w:val="0051019E"/>
    <w:rsid w:val="00526B64"/>
    <w:rsid w:val="00532B3D"/>
    <w:rsid w:val="00560BFF"/>
    <w:rsid w:val="0057123C"/>
    <w:rsid w:val="005728A3"/>
    <w:rsid w:val="00582C45"/>
    <w:rsid w:val="0058450A"/>
    <w:rsid w:val="005C315C"/>
    <w:rsid w:val="005C56F0"/>
    <w:rsid w:val="005E363A"/>
    <w:rsid w:val="005E4810"/>
    <w:rsid w:val="00637084"/>
    <w:rsid w:val="0065039A"/>
    <w:rsid w:val="0065310F"/>
    <w:rsid w:val="0065377C"/>
    <w:rsid w:val="006646C0"/>
    <w:rsid w:val="006676C7"/>
    <w:rsid w:val="00667CFB"/>
    <w:rsid w:val="00670E11"/>
    <w:rsid w:val="00680789"/>
    <w:rsid w:val="006B6601"/>
    <w:rsid w:val="006C0F58"/>
    <w:rsid w:val="006C22D9"/>
    <w:rsid w:val="006D3771"/>
    <w:rsid w:val="00700563"/>
    <w:rsid w:val="00704DD1"/>
    <w:rsid w:val="00714A62"/>
    <w:rsid w:val="0072465D"/>
    <w:rsid w:val="00734D8B"/>
    <w:rsid w:val="007350ED"/>
    <w:rsid w:val="00742FA8"/>
    <w:rsid w:val="00752C1A"/>
    <w:rsid w:val="007624D6"/>
    <w:rsid w:val="007627E3"/>
    <w:rsid w:val="00767F8D"/>
    <w:rsid w:val="00782AE2"/>
    <w:rsid w:val="0078408C"/>
    <w:rsid w:val="007959C1"/>
    <w:rsid w:val="00795AC5"/>
    <w:rsid w:val="007B3B82"/>
    <w:rsid w:val="007B3F1F"/>
    <w:rsid w:val="007D198D"/>
    <w:rsid w:val="00803AFD"/>
    <w:rsid w:val="00817D25"/>
    <w:rsid w:val="0082667A"/>
    <w:rsid w:val="00836ED4"/>
    <w:rsid w:val="00857FF1"/>
    <w:rsid w:val="00871CD8"/>
    <w:rsid w:val="00874C7A"/>
    <w:rsid w:val="00881711"/>
    <w:rsid w:val="00887319"/>
    <w:rsid w:val="00902063"/>
    <w:rsid w:val="00906B87"/>
    <w:rsid w:val="0094413C"/>
    <w:rsid w:val="009714D8"/>
    <w:rsid w:val="0099481D"/>
    <w:rsid w:val="009A2ABA"/>
    <w:rsid w:val="009B3B1D"/>
    <w:rsid w:val="009B5190"/>
    <w:rsid w:val="009C1AFD"/>
    <w:rsid w:val="009C367C"/>
    <w:rsid w:val="009C604F"/>
    <w:rsid w:val="009D68A7"/>
    <w:rsid w:val="009F3FD3"/>
    <w:rsid w:val="009F69F7"/>
    <w:rsid w:val="00A41756"/>
    <w:rsid w:val="00A5152F"/>
    <w:rsid w:val="00A52988"/>
    <w:rsid w:val="00A54D19"/>
    <w:rsid w:val="00A55EAB"/>
    <w:rsid w:val="00A7112D"/>
    <w:rsid w:val="00A83D76"/>
    <w:rsid w:val="00AA16BF"/>
    <w:rsid w:val="00AD3544"/>
    <w:rsid w:val="00AF357C"/>
    <w:rsid w:val="00B35012"/>
    <w:rsid w:val="00B542C9"/>
    <w:rsid w:val="00B563D7"/>
    <w:rsid w:val="00B807B6"/>
    <w:rsid w:val="00B8792C"/>
    <w:rsid w:val="00BD26EA"/>
    <w:rsid w:val="00C010F3"/>
    <w:rsid w:val="00C172DD"/>
    <w:rsid w:val="00C23993"/>
    <w:rsid w:val="00C32AF4"/>
    <w:rsid w:val="00C45527"/>
    <w:rsid w:val="00C72319"/>
    <w:rsid w:val="00C73467"/>
    <w:rsid w:val="00C73F6F"/>
    <w:rsid w:val="00C75135"/>
    <w:rsid w:val="00C8399B"/>
    <w:rsid w:val="00C86F4B"/>
    <w:rsid w:val="00C9287B"/>
    <w:rsid w:val="00CC0D81"/>
    <w:rsid w:val="00CF1C6F"/>
    <w:rsid w:val="00D0202F"/>
    <w:rsid w:val="00D20872"/>
    <w:rsid w:val="00D37016"/>
    <w:rsid w:val="00D63A55"/>
    <w:rsid w:val="00DC7320"/>
    <w:rsid w:val="00DF2AF9"/>
    <w:rsid w:val="00DF7C08"/>
    <w:rsid w:val="00E64519"/>
    <w:rsid w:val="00E664BA"/>
    <w:rsid w:val="00E70A39"/>
    <w:rsid w:val="00E82B84"/>
    <w:rsid w:val="00EA568E"/>
    <w:rsid w:val="00EB2260"/>
    <w:rsid w:val="00ED2C05"/>
    <w:rsid w:val="00ED3680"/>
    <w:rsid w:val="00ED5D4E"/>
    <w:rsid w:val="00EE7E3A"/>
    <w:rsid w:val="00EF0DAE"/>
    <w:rsid w:val="00F10515"/>
    <w:rsid w:val="00F15AD7"/>
    <w:rsid w:val="00F1674F"/>
    <w:rsid w:val="00F21125"/>
    <w:rsid w:val="00F3151D"/>
    <w:rsid w:val="00F3241D"/>
    <w:rsid w:val="00F635A5"/>
    <w:rsid w:val="00F847EB"/>
    <w:rsid w:val="00FA27A2"/>
    <w:rsid w:val="00FA69DC"/>
    <w:rsid w:val="00FA7219"/>
    <w:rsid w:val="00FC6B15"/>
    <w:rsid w:val="00FD48F4"/>
    <w:rsid w:val="00FE05A9"/>
    <w:rsid w:val="00FE55AC"/>
    <w:rsid w:val="00FF4C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544"/>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7624D6"/>
  </w:style>
  <w:style w:type="character" w:customStyle="1" w:styleId="gray">
    <w:name w:val="gray"/>
    <w:basedOn w:val="DefaultParagraphFont"/>
    <w:rsid w:val="007624D6"/>
  </w:style>
  <w:style w:type="paragraph" w:customStyle="1" w:styleId="COEHI">
    <w:name w:val="COE_HI"/>
    <w:basedOn w:val="Normal"/>
    <w:qFormat/>
    <w:rsid w:val="00292116"/>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383CC3"/>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383CC3"/>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383CC3"/>
    <w:rPr>
      <w:rFonts w:ascii="Calibri" w:eastAsiaTheme="minorHAnsi" w:hAnsi="Calibri" w:cs="Calibri"/>
      <w:sz w:val="22"/>
      <w:szCs w:val="22"/>
      <w:lang w:eastAsia="fr-FR"/>
    </w:rPr>
  </w:style>
  <w:style w:type="paragraph" w:customStyle="1" w:styleId="xxxxxmsonormal">
    <w:name w:val="x_x_x_x_xmsonormal"/>
    <w:basedOn w:val="Normal"/>
    <w:rsid w:val="00252DE0"/>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468">
      <w:bodyDiv w:val="1"/>
      <w:marLeft w:val="0"/>
      <w:marRight w:val="0"/>
      <w:marTop w:val="0"/>
      <w:marBottom w:val="0"/>
      <w:divBdr>
        <w:top w:val="none" w:sz="0" w:space="0" w:color="auto"/>
        <w:left w:val="none" w:sz="0" w:space="0" w:color="auto"/>
        <w:bottom w:val="none" w:sz="0" w:space="0" w:color="auto"/>
        <w:right w:val="none" w:sz="0" w:space="0" w:color="auto"/>
      </w:divBdr>
    </w:div>
    <w:div w:id="80684223">
      <w:bodyDiv w:val="1"/>
      <w:marLeft w:val="0"/>
      <w:marRight w:val="0"/>
      <w:marTop w:val="0"/>
      <w:marBottom w:val="0"/>
      <w:divBdr>
        <w:top w:val="none" w:sz="0" w:space="0" w:color="auto"/>
        <w:left w:val="none" w:sz="0" w:space="0" w:color="auto"/>
        <w:bottom w:val="none" w:sz="0" w:space="0" w:color="auto"/>
        <w:right w:val="none" w:sz="0" w:space="0" w:color="auto"/>
      </w:divBdr>
    </w:div>
    <w:div w:id="201287913">
      <w:bodyDiv w:val="1"/>
      <w:marLeft w:val="0"/>
      <w:marRight w:val="0"/>
      <w:marTop w:val="0"/>
      <w:marBottom w:val="0"/>
      <w:divBdr>
        <w:top w:val="none" w:sz="0" w:space="0" w:color="auto"/>
        <w:left w:val="none" w:sz="0" w:space="0" w:color="auto"/>
        <w:bottom w:val="none" w:sz="0" w:space="0" w:color="auto"/>
        <w:right w:val="none" w:sz="0" w:space="0" w:color="auto"/>
      </w:divBdr>
    </w:div>
    <w:div w:id="368263500">
      <w:bodyDiv w:val="1"/>
      <w:marLeft w:val="0"/>
      <w:marRight w:val="0"/>
      <w:marTop w:val="0"/>
      <w:marBottom w:val="0"/>
      <w:divBdr>
        <w:top w:val="none" w:sz="0" w:space="0" w:color="auto"/>
        <w:left w:val="none" w:sz="0" w:space="0" w:color="auto"/>
        <w:bottom w:val="none" w:sz="0" w:space="0" w:color="auto"/>
        <w:right w:val="none" w:sz="0" w:space="0" w:color="auto"/>
      </w:divBdr>
    </w:div>
    <w:div w:id="388847311">
      <w:bodyDiv w:val="1"/>
      <w:marLeft w:val="0"/>
      <w:marRight w:val="0"/>
      <w:marTop w:val="0"/>
      <w:marBottom w:val="0"/>
      <w:divBdr>
        <w:top w:val="none" w:sz="0" w:space="0" w:color="auto"/>
        <w:left w:val="none" w:sz="0" w:space="0" w:color="auto"/>
        <w:bottom w:val="none" w:sz="0" w:space="0" w:color="auto"/>
        <w:right w:val="none" w:sz="0" w:space="0" w:color="auto"/>
      </w:divBdr>
    </w:div>
    <w:div w:id="519124135">
      <w:bodyDiv w:val="1"/>
      <w:marLeft w:val="0"/>
      <w:marRight w:val="0"/>
      <w:marTop w:val="0"/>
      <w:marBottom w:val="0"/>
      <w:divBdr>
        <w:top w:val="none" w:sz="0" w:space="0" w:color="auto"/>
        <w:left w:val="none" w:sz="0" w:space="0" w:color="auto"/>
        <w:bottom w:val="none" w:sz="0" w:space="0" w:color="auto"/>
        <w:right w:val="none" w:sz="0" w:space="0" w:color="auto"/>
      </w:divBdr>
    </w:div>
    <w:div w:id="568155103">
      <w:bodyDiv w:val="1"/>
      <w:marLeft w:val="0"/>
      <w:marRight w:val="0"/>
      <w:marTop w:val="0"/>
      <w:marBottom w:val="0"/>
      <w:divBdr>
        <w:top w:val="none" w:sz="0" w:space="0" w:color="auto"/>
        <w:left w:val="none" w:sz="0" w:space="0" w:color="auto"/>
        <w:bottom w:val="none" w:sz="0" w:space="0" w:color="auto"/>
        <w:right w:val="none" w:sz="0" w:space="0" w:color="auto"/>
      </w:divBdr>
    </w:div>
    <w:div w:id="664554448">
      <w:bodyDiv w:val="1"/>
      <w:marLeft w:val="0"/>
      <w:marRight w:val="0"/>
      <w:marTop w:val="0"/>
      <w:marBottom w:val="0"/>
      <w:divBdr>
        <w:top w:val="none" w:sz="0" w:space="0" w:color="auto"/>
        <w:left w:val="none" w:sz="0" w:space="0" w:color="auto"/>
        <w:bottom w:val="none" w:sz="0" w:space="0" w:color="auto"/>
        <w:right w:val="none" w:sz="0" w:space="0" w:color="auto"/>
      </w:divBdr>
    </w:div>
    <w:div w:id="669331433">
      <w:bodyDiv w:val="1"/>
      <w:marLeft w:val="0"/>
      <w:marRight w:val="0"/>
      <w:marTop w:val="0"/>
      <w:marBottom w:val="0"/>
      <w:divBdr>
        <w:top w:val="none" w:sz="0" w:space="0" w:color="auto"/>
        <w:left w:val="none" w:sz="0" w:space="0" w:color="auto"/>
        <w:bottom w:val="none" w:sz="0" w:space="0" w:color="auto"/>
        <w:right w:val="none" w:sz="0" w:space="0" w:color="auto"/>
      </w:divBdr>
    </w:div>
    <w:div w:id="738557780">
      <w:bodyDiv w:val="1"/>
      <w:marLeft w:val="0"/>
      <w:marRight w:val="0"/>
      <w:marTop w:val="0"/>
      <w:marBottom w:val="0"/>
      <w:divBdr>
        <w:top w:val="none" w:sz="0" w:space="0" w:color="auto"/>
        <w:left w:val="none" w:sz="0" w:space="0" w:color="auto"/>
        <w:bottom w:val="none" w:sz="0" w:space="0" w:color="auto"/>
        <w:right w:val="none" w:sz="0" w:space="0" w:color="auto"/>
      </w:divBdr>
    </w:div>
    <w:div w:id="739139224">
      <w:bodyDiv w:val="1"/>
      <w:marLeft w:val="0"/>
      <w:marRight w:val="0"/>
      <w:marTop w:val="0"/>
      <w:marBottom w:val="0"/>
      <w:divBdr>
        <w:top w:val="none" w:sz="0" w:space="0" w:color="auto"/>
        <w:left w:val="none" w:sz="0" w:space="0" w:color="auto"/>
        <w:bottom w:val="none" w:sz="0" w:space="0" w:color="auto"/>
        <w:right w:val="none" w:sz="0" w:space="0" w:color="auto"/>
      </w:divBdr>
    </w:div>
    <w:div w:id="891578086">
      <w:bodyDiv w:val="1"/>
      <w:marLeft w:val="0"/>
      <w:marRight w:val="0"/>
      <w:marTop w:val="0"/>
      <w:marBottom w:val="0"/>
      <w:divBdr>
        <w:top w:val="none" w:sz="0" w:space="0" w:color="auto"/>
        <w:left w:val="none" w:sz="0" w:space="0" w:color="auto"/>
        <w:bottom w:val="none" w:sz="0" w:space="0" w:color="auto"/>
        <w:right w:val="none" w:sz="0" w:space="0" w:color="auto"/>
      </w:divBdr>
    </w:div>
    <w:div w:id="1100485719">
      <w:bodyDiv w:val="1"/>
      <w:marLeft w:val="0"/>
      <w:marRight w:val="0"/>
      <w:marTop w:val="0"/>
      <w:marBottom w:val="0"/>
      <w:divBdr>
        <w:top w:val="none" w:sz="0" w:space="0" w:color="auto"/>
        <w:left w:val="none" w:sz="0" w:space="0" w:color="auto"/>
        <w:bottom w:val="none" w:sz="0" w:space="0" w:color="auto"/>
        <w:right w:val="none" w:sz="0" w:space="0" w:color="auto"/>
      </w:divBdr>
    </w:div>
    <w:div w:id="1102726406">
      <w:bodyDiv w:val="1"/>
      <w:marLeft w:val="0"/>
      <w:marRight w:val="0"/>
      <w:marTop w:val="0"/>
      <w:marBottom w:val="0"/>
      <w:divBdr>
        <w:top w:val="none" w:sz="0" w:space="0" w:color="auto"/>
        <w:left w:val="none" w:sz="0" w:space="0" w:color="auto"/>
        <w:bottom w:val="none" w:sz="0" w:space="0" w:color="auto"/>
        <w:right w:val="none" w:sz="0" w:space="0" w:color="auto"/>
      </w:divBdr>
    </w:div>
    <w:div w:id="1161701474">
      <w:bodyDiv w:val="1"/>
      <w:marLeft w:val="0"/>
      <w:marRight w:val="0"/>
      <w:marTop w:val="0"/>
      <w:marBottom w:val="0"/>
      <w:divBdr>
        <w:top w:val="none" w:sz="0" w:space="0" w:color="auto"/>
        <w:left w:val="none" w:sz="0" w:space="0" w:color="auto"/>
        <w:bottom w:val="none" w:sz="0" w:space="0" w:color="auto"/>
        <w:right w:val="none" w:sz="0" w:space="0" w:color="auto"/>
      </w:divBdr>
    </w:div>
    <w:div w:id="1321037300">
      <w:bodyDiv w:val="1"/>
      <w:marLeft w:val="0"/>
      <w:marRight w:val="0"/>
      <w:marTop w:val="0"/>
      <w:marBottom w:val="0"/>
      <w:divBdr>
        <w:top w:val="none" w:sz="0" w:space="0" w:color="auto"/>
        <w:left w:val="none" w:sz="0" w:space="0" w:color="auto"/>
        <w:bottom w:val="none" w:sz="0" w:space="0" w:color="auto"/>
        <w:right w:val="none" w:sz="0" w:space="0" w:color="auto"/>
      </w:divBdr>
    </w:div>
    <w:div w:id="1383753061">
      <w:bodyDiv w:val="1"/>
      <w:marLeft w:val="0"/>
      <w:marRight w:val="0"/>
      <w:marTop w:val="0"/>
      <w:marBottom w:val="0"/>
      <w:divBdr>
        <w:top w:val="none" w:sz="0" w:space="0" w:color="auto"/>
        <w:left w:val="none" w:sz="0" w:space="0" w:color="auto"/>
        <w:bottom w:val="none" w:sz="0" w:space="0" w:color="auto"/>
        <w:right w:val="none" w:sz="0" w:space="0" w:color="auto"/>
      </w:divBdr>
    </w:div>
    <w:div w:id="1406490254">
      <w:bodyDiv w:val="1"/>
      <w:marLeft w:val="0"/>
      <w:marRight w:val="0"/>
      <w:marTop w:val="0"/>
      <w:marBottom w:val="0"/>
      <w:divBdr>
        <w:top w:val="none" w:sz="0" w:space="0" w:color="auto"/>
        <w:left w:val="none" w:sz="0" w:space="0" w:color="auto"/>
        <w:bottom w:val="none" w:sz="0" w:space="0" w:color="auto"/>
        <w:right w:val="none" w:sz="0" w:space="0" w:color="auto"/>
      </w:divBdr>
    </w:div>
    <w:div w:id="1468813144">
      <w:bodyDiv w:val="1"/>
      <w:marLeft w:val="0"/>
      <w:marRight w:val="0"/>
      <w:marTop w:val="0"/>
      <w:marBottom w:val="0"/>
      <w:divBdr>
        <w:top w:val="none" w:sz="0" w:space="0" w:color="auto"/>
        <w:left w:val="none" w:sz="0" w:space="0" w:color="auto"/>
        <w:bottom w:val="none" w:sz="0" w:space="0" w:color="auto"/>
        <w:right w:val="none" w:sz="0" w:space="0" w:color="auto"/>
      </w:divBdr>
    </w:div>
    <w:div w:id="1535000643">
      <w:bodyDiv w:val="1"/>
      <w:marLeft w:val="0"/>
      <w:marRight w:val="0"/>
      <w:marTop w:val="0"/>
      <w:marBottom w:val="0"/>
      <w:divBdr>
        <w:top w:val="none" w:sz="0" w:space="0" w:color="auto"/>
        <w:left w:val="none" w:sz="0" w:space="0" w:color="auto"/>
        <w:bottom w:val="none" w:sz="0" w:space="0" w:color="auto"/>
        <w:right w:val="none" w:sz="0" w:space="0" w:color="auto"/>
      </w:divBdr>
    </w:div>
    <w:div w:id="1739592033">
      <w:bodyDiv w:val="1"/>
      <w:marLeft w:val="0"/>
      <w:marRight w:val="0"/>
      <w:marTop w:val="0"/>
      <w:marBottom w:val="0"/>
      <w:divBdr>
        <w:top w:val="none" w:sz="0" w:space="0" w:color="auto"/>
        <w:left w:val="none" w:sz="0" w:space="0" w:color="auto"/>
        <w:bottom w:val="none" w:sz="0" w:space="0" w:color="auto"/>
        <w:right w:val="none" w:sz="0" w:space="0" w:color="auto"/>
      </w:divBdr>
    </w:div>
    <w:div w:id="1781684655">
      <w:bodyDiv w:val="1"/>
      <w:marLeft w:val="0"/>
      <w:marRight w:val="0"/>
      <w:marTop w:val="0"/>
      <w:marBottom w:val="0"/>
      <w:divBdr>
        <w:top w:val="none" w:sz="0" w:space="0" w:color="auto"/>
        <w:left w:val="none" w:sz="0" w:space="0" w:color="auto"/>
        <w:bottom w:val="none" w:sz="0" w:space="0" w:color="auto"/>
        <w:right w:val="none" w:sz="0" w:space="0" w:color="auto"/>
      </w:divBdr>
    </w:div>
    <w:div w:id="1802769826">
      <w:bodyDiv w:val="1"/>
      <w:marLeft w:val="0"/>
      <w:marRight w:val="0"/>
      <w:marTop w:val="0"/>
      <w:marBottom w:val="0"/>
      <w:divBdr>
        <w:top w:val="none" w:sz="0" w:space="0" w:color="auto"/>
        <w:left w:val="none" w:sz="0" w:space="0" w:color="auto"/>
        <w:bottom w:val="none" w:sz="0" w:space="0" w:color="auto"/>
        <w:right w:val="none" w:sz="0" w:space="0" w:color="auto"/>
      </w:divBdr>
    </w:div>
    <w:div w:id="1811970949">
      <w:bodyDiv w:val="1"/>
      <w:marLeft w:val="0"/>
      <w:marRight w:val="0"/>
      <w:marTop w:val="0"/>
      <w:marBottom w:val="0"/>
      <w:divBdr>
        <w:top w:val="none" w:sz="0" w:space="0" w:color="auto"/>
        <w:left w:val="none" w:sz="0" w:space="0" w:color="auto"/>
        <w:bottom w:val="none" w:sz="0" w:space="0" w:color="auto"/>
        <w:right w:val="none" w:sz="0" w:space="0" w:color="auto"/>
      </w:divBdr>
    </w:div>
    <w:div w:id="1867525220">
      <w:bodyDiv w:val="1"/>
      <w:marLeft w:val="0"/>
      <w:marRight w:val="0"/>
      <w:marTop w:val="0"/>
      <w:marBottom w:val="0"/>
      <w:divBdr>
        <w:top w:val="none" w:sz="0" w:space="0" w:color="auto"/>
        <w:left w:val="none" w:sz="0" w:space="0" w:color="auto"/>
        <w:bottom w:val="none" w:sz="0" w:space="0" w:color="auto"/>
        <w:right w:val="none" w:sz="0" w:space="0" w:color="auto"/>
      </w:divBdr>
    </w:div>
    <w:div w:id="1952396290">
      <w:bodyDiv w:val="1"/>
      <w:marLeft w:val="0"/>
      <w:marRight w:val="0"/>
      <w:marTop w:val="0"/>
      <w:marBottom w:val="0"/>
      <w:divBdr>
        <w:top w:val="none" w:sz="0" w:space="0" w:color="auto"/>
        <w:left w:val="none" w:sz="0" w:space="0" w:color="auto"/>
        <w:bottom w:val="none" w:sz="0" w:space="0" w:color="auto"/>
        <w:right w:val="none" w:sz="0" w:space="0" w:color="auto"/>
      </w:divBdr>
    </w:div>
    <w:div w:id="1971747340">
      <w:bodyDiv w:val="1"/>
      <w:marLeft w:val="0"/>
      <w:marRight w:val="0"/>
      <w:marTop w:val="0"/>
      <w:marBottom w:val="0"/>
      <w:divBdr>
        <w:top w:val="none" w:sz="0" w:space="0" w:color="auto"/>
        <w:left w:val="none" w:sz="0" w:space="0" w:color="auto"/>
        <w:bottom w:val="none" w:sz="0" w:space="0" w:color="auto"/>
        <w:right w:val="none" w:sz="0" w:space="0" w:color="auto"/>
      </w:divBdr>
    </w:div>
    <w:div w:id="2037003387">
      <w:bodyDiv w:val="1"/>
      <w:marLeft w:val="0"/>
      <w:marRight w:val="0"/>
      <w:marTop w:val="0"/>
      <w:marBottom w:val="0"/>
      <w:divBdr>
        <w:top w:val="none" w:sz="0" w:space="0" w:color="auto"/>
        <w:left w:val="none" w:sz="0" w:space="0" w:color="auto"/>
        <w:bottom w:val="none" w:sz="0" w:space="0" w:color="auto"/>
        <w:right w:val="none" w:sz="0" w:space="0" w:color="auto"/>
      </w:divBdr>
    </w:div>
    <w:div w:id="2086687321">
      <w:bodyDiv w:val="1"/>
      <w:marLeft w:val="0"/>
      <w:marRight w:val="0"/>
      <w:marTop w:val="0"/>
      <w:marBottom w:val="0"/>
      <w:divBdr>
        <w:top w:val="none" w:sz="0" w:space="0" w:color="auto"/>
        <w:left w:val="none" w:sz="0" w:space="0" w:color="auto"/>
        <w:bottom w:val="none" w:sz="0" w:space="0" w:color="auto"/>
        <w:right w:val="none" w:sz="0" w:space="0" w:color="auto"/>
      </w:divBdr>
    </w:div>
    <w:div w:id="210660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e.int/en/web/cop198/-/estonia-ratified-convention-cets-n-19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e.int/en/web/conventions/full-list?module=signatures-by-treaty&amp;treatynum=19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estonia" TargetMode="External"/><Relationship Id="rId5" Type="http://schemas.openxmlformats.org/officeDocument/2006/relationships/webSettings" Target="webSettings.xml"/><Relationship Id="rId15" Type="http://schemas.openxmlformats.org/officeDocument/2006/relationships/hyperlink" Target="https://rm.coe.int/moneyval-2022-11-mer-estonia/1680a9dd96" TargetMode="External"/><Relationship Id="rId10" Type="http://schemas.openxmlformats.org/officeDocument/2006/relationships/hyperlink" Target="mailto:christel.schurrer@coe.in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estonia-2021-data-/1680ab89b5" TargetMode="External"/><Relationship Id="rId14" Type="http://schemas.openxmlformats.org/officeDocument/2006/relationships/hyperlink" Target="https://rm.coe.int/fifth-evaluation-round-preventing-corruption-and-promoting-integrity-i/1680ab92a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C90B-6C17-42F5-A4D4-9C075384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365</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9</cp:revision>
  <dcterms:created xsi:type="dcterms:W3CDTF">2023-12-26T06:33:00Z</dcterms:created>
  <dcterms:modified xsi:type="dcterms:W3CDTF">2024-01-12T06:29:00Z</dcterms:modified>
</cp:coreProperties>
</file>